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0E" w:rsidRPr="00E528D0" w:rsidRDefault="00C254E9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E528D0">
        <w:rPr>
          <w:rFonts w:ascii="Noor_Badr" w:hAnsi="Noor_Badr" w:cs="Noor_Badr"/>
          <w:sz w:val="32"/>
          <w:szCs w:val="32"/>
          <w:rtl/>
          <w:lang w:bidi="fa-IR"/>
        </w:rPr>
        <w:t>خارج اصول-جلسه دهم-شنبه 14/ 7/ 97</w:t>
      </w:r>
    </w:p>
    <w:p w:rsidR="00C254E9" w:rsidRPr="00E528D0" w:rsidRDefault="00C254E9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حدیث-(حق مومن بر مومن)</w:t>
      </w:r>
    </w:p>
    <w:p w:rsidR="00C254E9" w:rsidRPr="00E528D0" w:rsidRDefault="00C254E9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وَ السَّادِسُ أَنْ يَكُونَ لَكَ خَادِمٌ وَ لَيْسَ لَهُ خَادِمٌ‏</w:t>
      </w:r>
      <w:r w:rsidRPr="00E528D0">
        <w:rPr>
          <w:rFonts w:ascii="Noor_Badr" w:hAnsi="Noor_Badr" w:cs="Noor_Badr"/>
          <w:sz w:val="32"/>
          <w:szCs w:val="32"/>
          <w:vertAlign w:val="superscript"/>
          <w:rtl/>
          <w:lang w:bidi="fa-IR"/>
        </w:rPr>
        <w:t xml:space="preserve"> </w:t>
      </w:r>
      <w:r w:rsidRPr="00E528D0">
        <w:rPr>
          <w:rFonts w:ascii="Noor_Badr" w:hAnsi="Noor_Badr" w:cs="Noor_Badr"/>
          <w:sz w:val="32"/>
          <w:szCs w:val="32"/>
          <w:rtl/>
          <w:lang w:bidi="fa-IR"/>
        </w:rPr>
        <w:t>وَ لَكَ امْرَأَةٌ تَقُومُ عَلَيْكَ وَ لَيْسَ لَهُ امْرَأَةٌ تَقُومُ عَلَيْهِ أَنْ تَبْعَثَ خَادِمَكَ يَغْسِلُ ثِيَابَهُ وَ يَصْنَعُ طَعَامَهُ وَ يُهَيِّئُ فِرَاشَهُ.</w:t>
      </w:r>
    </w:p>
    <w:p w:rsidR="00C254E9" w:rsidRPr="00E528D0" w:rsidRDefault="00C254E9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 xml:space="preserve">******* </w:t>
      </w:r>
    </w:p>
    <w:p w:rsidR="00C254E9" w:rsidRPr="00E528D0" w:rsidRDefault="000B605C" w:rsidP="00E528D0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بحث إجزاء</w:t>
      </w:r>
    </w:p>
    <w:p w:rsidR="00C254E9" w:rsidRPr="00E528D0" w:rsidRDefault="000B605C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 xml:space="preserve">مقدمه:چرا این بحث در کتب اصولی </w:t>
      </w:r>
      <w:r w:rsidR="00EF064A" w:rsidRPr="00E528D0">
        <w:rPr>
          <w:rFonts w:ascii="Noor_Badr" w:hAnsi="Noor_Badr" w:cs="Noor_Badr"/>
          <w:sz w:val="32"/>
          <w:szCs w:val="32"/>
          <w:rtl/>
          <w:lang w:bidi="fa-IR"/>
        </w:rPr>
        <w:t>بعد از بحث ا</w:t>
      </w:r>
      <w:r w:rsidRPr="00E528D0">
        <w:rPr>
          <w:rFonts w:ascii="Noor_Badr" w:hAnsi="Noor_Badr" w:cs="Noor_Badr"/>
          <w:sz w:val="32"/>
          <w:szCs w:val="32"/>
          <w:rtl/>
          <w:lang w:bidi="fa-IR"/>
        </w:rPr>
        <w:t>مر آمده است؟</w:t>
      </w:r>
    </w:p>
    <w:p w:rsidR="000B605C" w:rsidRPr="00E528D0" w:rsidRDefault="004E67F1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 xml:space="preserve">دو </w:t>
      </w:r>
      <w:r w:rsidR="000B605C" w:rsidRPr="00E528D0">
        <w:rPr>
          <w:rFonts w:ascii="Noor_Badr" w:hAnsi="Noor_Badr" w:cs="Noor_Badr"/>
          <w:sz w:val="32"/>
          <w:szCs w:val="32"/>
          <w:rtl/>
          <w:lang w:bidi="fa-IR"/>
        </w:rPr>
        <w:t>جواب:</w:t>
      </w:r>
    </w:p>
    <w:p w:rsidR="000B605C" w:rsidRPr="00E528D0" w:rsidRDefault="00C328E4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1-آنچه تا به اینجا گفته شد بحث از ثبوت تکلیف توسط امر بود و مؤدای صیغه و ماده امر نسبت به وجوب و استحباب بررسی شد.مرحله دوم که</w:t>
      </w:r>
      <w:r w:rsidR="00E8667E" w:rsidRPr="00E528D0">
        <w:rPr>
          <w:rFonts w:ascii="Noor_Badr" w:hAnsi="Noor_Badr" w:cs="Noor_Badr"/>
          <w:sz w:val="32"/>
          <w:szCs w:val="32"/>
          <w:rtl/>
          <w:lang w:bidi="fa-IR"/>
        </w:rPr>
        <w:t xml:space="preserve"> از لوازم مرحله اول است بحث سقو</w:t>
      </w:r>
      <w:r w:rsidRPr="00E528D0">
        <w:rPr>
          <w:rFonts w:ascii="Noor_Badr" w:hAnsi="Noor_Badr" w:cs="Noor_Badr"/>
          <w:sz w:val="32"/>
          <w:szCs w:val="32"/>
          <w:rtl/>
          <w:lang w:bidi="fa-IR"/>
        </w:rPr>
        <w:t>ط تکلیف است و کیفیت آن در بحث اجزاء بررسی می شود</w:t>
      </w:r>
      <w:r w:rsidR="00972788" w:rsidRPr="00E528D0">
        <w:rPr>
          <w:rFonts w:ascii="Noor_Badr" w:hAnsi="Noor_Badr" w:cs="Noor_Badr"/>
          <w:sz w:val="32"/>
          <w:szCs w:val="32"/>
          <w:rtl/>
          <w:lang w:bidi="fa-IR"/>
        </w:rPr>
        <w:t xml:space="preserve"> که در دو جهت بحث می شود:</w:t>
      </w:r>
    </w:p>
    <w:p w:rsidR="00972788" w:rsidRPr="00E528D0" w:rsidRDefault="00972788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1)انجام متعلق امر ظاهری یا اضطراری ذمه مکلف را بریء می کند یا نه؟</w:t>
      </w:r>
    </w:p>
    <w:p w:rsidR="00972788" w:rsidRPr="00E528D0" w:rsidRDefault="00972788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2)تحقق غرض مولا برای خروج از تکلیف کافی است یا نه؟</w:t>
      </w:r>
    </w:p>
    <w:p w:rsidR="00972788" w:rsidRPr="00E528D0" w:rsidRDefault="0077179C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لذا بحث امر و بحث اجزا هردو مربوط به تکلیف اند که اولی بحث از ثبوث و اثبات تکلیف است و دومی بحث از سقوط و اسقاط تکلیف.</w:t>
      </w:r>
    </w:p>
    <w:p w:rsidR="00D56A28" w:rsidRPr="00E528D0" w:rsidRDefault="00D56A28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بحث اجزاء دو جهت دارد:اول متعلق ، دوم غرض؛و هردو بحث عقلی می باشند.</w:t>
      </w:r>
    </w:p>
    <w:p w:rsidR="009740AB" w:rsidRPr="00E528D0" w:rsidRDefault="009740AB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9740AB" w:rsidRPr="00E528D0" w:rsidRDefault="00D56A28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2-علمای اصول از قدیم این بحث را در ادامه بحث امر آورده اند چون غالباً نظر به دلالت لفظی داشته اند.شاهد بر این مطلب کلمات فقهاست که ذکر می شود</w:t>
      </w:r>
      <w:r w:rsidR="009740AB" w:rsidRPr="00E528D0">
        <w:rPr>
          <w:rFonts w:ascii="Noor_Badr" w:hAnsi="Noor_Badr" w:cs="Noor_Badr"/>
          <w:sz w:val="32"/>
          <w:szCs w:val="32"/>
          <w:rtl/>
          <w:lang w:bidi="fa-IR"/>
        </w:rPr>
        <w:t>:</w:t>
      </w:r>
    </w:p>
    <w:p w:rsidR="009740AB" w:rsidRPr="00E528D0" w:rsidRDefault="009740AB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lastRenderedPageBreak/>
        <w:t>1)سید مرتضی در کتاب الذریعه ص121</w:t>
      </w:r>
      <w:r w:rsidR="00EB31D2" w:rsidRPr="00E528D0">
        <w:rPr>
          <w:rFonts w:ascii="Noor_Badr" w:hAnsi="Noor_Badr" w:cs="Noor_Badr"/>
          <w:sz w:val="32"/>
          <w:szCs w:val="32"/>
          <w:rtl/>
          <w:lang w:bidi="fa-IR"/>
        </w:rPr>
        <w:t>:</w:t>
      </w:r>
    </w:p>
    <w:p w:rsidR="009740AB" w:rsidRPr="00E528D0" w:rsidRDefault="009740AB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فصل فی الأمر هل یقتضی إجزاء الفعل المأموربه؟</w:t>
      </w:r>
    </w:p>
    <w:p w:rsidR="00EB31D2" w:rsidRPr="00E528D0" w:rsidRDefault="00EB31D2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9740AB" w:rsidRPr="00E528D0" w:rsidRDefault="009740AB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2)شیخ طوسی در کتاب عدّة الاصول ج2 ص212</w:t>
      </w:r>
      <w:r w:rsidR="00EB31D2" w:rsidRPr="00E528D0">
        <w:rPr>
          <w:rFonts w:ascii="Noor_Badr" w:hAnsi="Noor_Badr" w:cs="Noor_Badr"/>
          <w:sz w:val="32"/>
          <w:szCs w:val="32"/>
          <w:rtl/>
          <w:lang w:bidi="fa-IR"/>
        </w:rPr>
        <w:t>:</w:t>
      </w:r>
    </w:p>
    <w:p w:rsidR="009740AB" w:rsidRPr="00E528D0" w:rsidRDefault="009740AB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فصل فی أنّ الأمر هل یقتضی کون المأموربه مجزیاً أو لا؟</w:t>
      </w:r>
    </w:p>
    <w:p w:rsidR="00EB31D2" w:rsidRPr="00E528D0" w:rsidRDefault="00EB31D2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9740AB" w:rsidRPr="00E528D0" w:rsidRDefault="009740AB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3)</w:t>
      </w:r>
      <w:r w:rsidR="007644A3" w:rsidRPr="00E528D0">
        <w:rPr>
          <w:rFonts w:ascii="Noor_Badr" w:hAnsi="Noor_Badr" w:cs="Noor_Badr"/>
          <w:sz w:val="32"/>
          <w:szCs w:val="32"/>
          <w:rtl/>
          <w:lang w:bidi="fa-IR"/>
        </w:rPr>
        <w:t>محقق حلی در کتاب معارج الاصول ص73</w:t>
      </w:r>
      <w:r w:rsidR="00EB31D2" w:rsidRPr="00E528D0">
        <w:rPr>
          <w:rFonts w:ascii="Noor_Badr" w:hAnsi="Noor_Badr" w:cs="Noor_Badr"/>
          <w:sz w:val="32"/>
          <w:szCs w:val="32"/>
          <w:rtl/>
          <w:lang w:bidi="fa-IR"/>
        </w:rPr>
        <w:t>:</w:t>
      </w:r>
    </w:p>
    <w:p w:rsidR="007644A3" w:rsidRPr="00E528D0" w:rsidRDefault="007644A3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إنما قلنا إنّ الأمر یقتضی الإجزاء</w:t>
      </w:r>
      <w:r w:rsidR="00F37FBA" w:rsidRPr="00E528D0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EB31D2" w:rsidRPr="00E528D0" w:rsidRDefault="00EB31D2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275BB6" w:rsidRPr="00E528D0" w:rsidRDefault="00275BB6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4)علامه در کتاب مبادی الاصول الی علم الاصول ص86</w:t>
      </w:r>
      <w:r w:rsidR="00EB31D2" w:rsidRPr="00E528D0">
        <w:rPr>
          <w:rFonts w:ascii="Noor_Badr" w:hAnsi="Noor_Badr" w:cs="Noor_Badr"/>
          <w:sz w:val="32"/>
          <w:szCs w:val="32"/>
          <w:rtl/>
          <w:lang w:bidi="fa-IR"/>
        </w:rPr>
        <w:t>:</w:t>
      </w:r>
    </w:p>
    <w:p w:rsidR="00275BB6" w:rsidRPr="00E528D0" w:rsidRDefault="00F37FBA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الإجزاء فی العبادات ما أ</w:t>
      </w:r>
      <w:r w:rsidR="00275BB6" w:rsidRPr="00E528D0">
        <w:rPr>
          <w:rFonts w:ascii="Noor_Badr" w:hAnsi="Noor_Badr" w:cs="Noor_Badr"/>
          <w:sz w:val="32"/>
          <w:szCs w:val="32"/>
          <w:rtl/>
          <w:lang w:bidi="fa-IR"/>
        </w:rPr>
        <w:t>سقط الأمر</w:t>
      </w:r>
      <w:r w:rsidRPr="00E528D0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EB31D2" w:rsidRPr="00E528D0" w:rsidRDefault="00EB31D2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275BB6" w:rsidRPr="00E528D0" w:rsidRDefault="00275BB6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5)میرزای قمی در کتاب قوانین الاصول ص129</w:t>
      </w:r>
      <w:r w:rsidR="00EB31D2" w:rsidRPr="00E528D0">
        <w:rPr>
          <w:rFonts w:ascii="Noor_Badr" w:hAnsi="Noor_Badr" w:cs="Noor_Badr"/>
          <w:sz w:val="32"/>
          <w:szCs w:val="32"/>
          <w:rtl/>
          <w:lang w:bidi="fa-IR"/>
        </w:rPr>
        <w:t>:</w:t>
      </w:r>
    </w:p>
    <w:p w:rsidR="005F71EE" w:rsidRPr="00E528D0" w:rsidRDefault="001A29E1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 xml:space="preserve">قانونٌ </w:t>
      </w:r>
      <w:r w:rsidR="00275BB6" w:rsidRPr="00E528D0">
        <w:rPr>
          <w:rFonts w:ascii="Noor_Badr" w:hAnsi="Noor_Badr" w:cs="Noor_Badr"/>
          <w:sz w:val="32"/>
          <w:szCs w:val="32"/>
          <w:rtl/>
          <w:lang w:bidi="fa-IR"/>
        </w:rPr>
        <w:t>الحقّ أنّ الأمر یقتضی الإجزاء</w:t>
      </w:r>
      <w:r w:rsidR="00F37FBA" w:rsidRPr="00E528D0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EB31D2" w:rsidRPr="00E528D0" w:rsidRDefault="00EB31D2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5F71EE" w:rsidRPr="00E528D0" w:rsidRDefault="009E266F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6)شیخ محمد حسین</w:t>
      </w:r>
      <w:r w:rsidR="005F71EE" w:rsidRPr="00E528D0">
        <w:rPr>
          <w:rFonts w:ascii="Noor_Badr" w:hAnsi="Noor_Badr" w:cs="Noor_Badr"/>
          <w:sz w:val="32"/>
          <w:szCs w:val="32"/>
          <w:rtl/>
          <w:lang w:bidi="fa-IR"/>
        </w:rPr>
        <w:t xml:space="preserve"> اصفهانی در کتاب الفصول الغرویه ص116</w:t>
      </w:r>
      <w:r w:rsidR="00EB31D2" w:rsidRPr="00E528D0">
        <w:rPr>
          <w:rFonts w:ascii="Noor_Badr" w:hAnsi="Noor_Badr" w:cs="Noor_Badr"/>
          <w:sz w:val="32"/>
          <w:szCs w:val="32"/>
          <w:rtl/>
          <w:lang w:bidi="fa-IR"/>
        </w:rPr>
        <w:t>:</w:t>
      </w:r>
      <w:r w:rsidR="005F71EE" w:rsidRPr="00E528D0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</w:p>
    <w:p w:rsidR="005F71EE" w:rsidRPr="00E528D0" w:rsidRDefault="005F71EE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إختلفوا فی أنّ الأمر بشیئٍ هل یقتضی الإجزاء إذا أتی به  المأموربه علی وجهه أو لا؟</w:t>
      </w:r>
    </w:p>
    <w:p w:rsidR="00EB31D2" w:rsidRPr="00E528D0" w:rsidRDefault="00EB31D2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F72125" w:rsidRPr="00E528D0" w:rsidRDefault="003079F9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7)</w:t>
      </w:r>
      <w:r w:rsidR="009E266F" w:rsidRPr="00E528D0">
        <w:rPr>
          <w:rFonts w:ascii="Noor_Badr" w:hAnsi="Noor_Badr" w:cs="Noor_Badr"/>
          <w:sz w:val="32"/>
          <w:szCs w:val="32"/>
          <w:rtl/>
          <w:lang w:bidi="fa-IR"/>
        </w:rPr>
        <w:t>شیخ محمد تقی اصفهانی در کتاب هدایة المسترشدین</w:t>
      </w:r>
      <w:r w:rsidR="009319D5" w:rsidRPr="00E528D0">
        <w:rPr>
          <w:rFonts w:ascii="Noor_Badr" w:hAnsi="Noor_Badr" w:cs="Noor_Badr"/>
          <w:sz w:val="32"/>
          <w:szCs w:val="32"/>
          <w:rtl/>
          <w:lang w:bidi="fa-IR"/>
        </w:rPr>
        <w:t xml:space="preserve"> ص700</w:t>
      </w:r>
      <w:r w:rsidR="00EB31D2" w:rsidRPr="00E528D0">
        <w:rPr>
          <w:rFonts w:ascii="Noor_Badr" w:hAnsi="Noor_Badr" w:cs="Noor_Badr"/>
          <w:sz w:val="32"/>
          <w:szCs w:val="32"/>
          <w:rtl/>
          <w:lang w:bidi="fa-IR"/>
        </w:rPr>
        <w:t>:</w:t>
      </w:r>
    </w:p>
    <w:p w:rsidR="009E266F" w:rsidRPr="00E528D0" w:rsidRDefault="009E266F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إختلفوا فی دلالة الأمر علی الإجزاء وعدمه بفعل المأموربه علی وجهه و ذهب إلیه أصحابنا و اکثرالعامة و</w:t>
      </w:r>
      <w:r w:rsidR="002A5BD0" w:rsidRPr="00E528D0">
        <w:rPr>
          <w:rFonts w:ascii="Noor_Badr" w:hAnsi="Noor_Badr" w:cs="Noor_Badr"/>
          <w:sz w:val="32"/>
          <w:szCs w:val="32"/>
          <w:rtl/>
          <w:lang w:bidi="fa-IR"/>
        </w:rPr>
        <w:t>عز</w:t>
      </w:r>
      <w:r w:rsidR="00827367" w:rsidRPr="00E528D0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="002A5BD0" w:rsidRPr="00E528D0">
        <w:rPr>
          <w:rFonts w:ascii="Noor_Badr" w:hAnsi="Noor_Badr" w:cs="Noor_Badr"/>
          <w:sz w:val="32"/>
          <w:szCs w:val="32"/>
          <w:rtl/>
          <w:lang w:bidi="fa-IR"/>
        </w:rPr>
        <w:t>اه(أی:نسبه)الآمدی من المعتزلة إلی أصحابه الأشاعرة والفقهاء والمعتزلة و الاکثر ذهبوا إلی دلالة اللفظ لغةً</w:t>
      </w:r>
      <w:r w:rsidR="009319D5" w:rsidRPr="00E528D0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9319D5" w:rsidRPr="00E528D0" w:rsidRDefault="008D5F6F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با توجه به این مطالب نگاه قدما به بحث اجزا،نگاه لفظی بوده است یعنی همانطور که در مقام اثبات و ثبوت تکلیف به صیغه و ماده امر توجه کرده اند در مقام اسقاط نیز به حکم دلالت لفظی قائل به اجزا شده اند</w:t>
      </w:r>
      <w:r w:rsidR="00D24600" w:rsidRPr="00E528D0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1B0450" w:rsidRPr="00E528D0" w:rsidRDefault="001B0450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BC6931" w:rsidRPr="00E528D0" w:rsidRDefault="00BC6931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اما بعد از ذکر این مقدمه، بحث اجزا در دو مقام بررسی می شود:لغت و اصطلاح</w:t>
      </w:r>
    </w:p>
    <w:p w:rsidR="00D00405" w:rsidRPr="00E528D0" w:rsidRDefault="00D00405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مقام اول : لغت</w:t>
      </w:r>
    </w:p>
    <w:p w:rsidR="00D00405" w:rsidRPr="00E528D0" w:rsidRDefault="00D00405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کلمه إجزاء با حروف اصلی "ج ز ی" مصدر باب افعال و در ثلاثی مجرد به معنای مکافات است</w:t>
      </w:r>
      <w:r w:rsidR="000736A8" w:rsidRPr="00E528D0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0736A8" w:rsidRPr="00E528D0" w:rsidRDefault="000736A8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در باب افعال تقول :أجزیتُ عن فلانٍ إذا قمتَ مقامه؛ ویقال: أجزی الشیئُ عن الشیئ بمعنی قام مقامه</w:t>
      </w:r>
      <w:r w:rsidR="00953913" w:rsidRPr="00E528D0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953913" w:rsidRPr="00E528D0" w:rsidRDefault="00953913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این کلمه، ناقص یائی از باب "ضرب یضرب" در باب افعال و ثلاثی مجرد به یک معناست.</w:t>
      </w:r>
    </w:p>
    <w:p w:rsidR="00953913" w:rsidRPr="00E528D0" w:rsidRDefault="00953913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لسان</w:t>
      </w:r>
      <w:r w:rsidR="001B0450" w:rsidRPr="00E528D0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E528D0">
        <w:rPr>
          <w:rFonts w:ascii="Noor_Badr" w:hAnsi="Noor_Badr" w:cs="Noor_Badr"/>
          <w:sz w:val="32"/>
          <w:szCs w:val="32"/>
          <w:rtl/>
          <w:lang w:bidi="fa-IR"/>
        </w:rPr>
        <w:t>العرب ج1 ص602: باب افعال بمعنای قیام شیئی مقام شیئ دیگر است چه از آن شیئ کفایت کند یا نه.</w:t>
      </w:r>
    </w:p>
    <w:p w:rsidR="00EB0BFB" w:rsidRPr="00E528D0" w:rsidRDefault="00187611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مصباح المنیر</w:t>
      </w:r>
      <w:r w:rsidR="003D0A3A" w:rsidRPr="00E528D0">
        <w:rPr>
          <w:rFonts w:ascii="Noor_Badr" w:hAnsi="Noor_Badr" w:cs="Noor_Badr"/>
          <w:sz w:val="32"/>
          <w:szCs w:val="32"/>
          <w:rtl/>
          <w:lang w:bidi="fa-IR"/>
        </w:rPr>
        <w:t xml:space="preserve"> ص100</w:t>
      </w:r>
      <w:r w:rsidRPr="00E528D0">
        <w:rPr>
          <w:rFonts w:ascii="Noor_Badr" w:hAnsi="Noor_Badr" w:cs="Noor_Badr"/>
          <w:sz w:val="32"/>
          <w:szCs w:val="32"/>
          <w:rtl/>
          <w:lang w:bidi="fa-IR"/>
        </w:rPr>
        <w:t xml:space="preserve">: جزی الأمر یجزی جزاءاً مثل </w:t>
      </w:r>
      <w:r w:rsidR="00EB0BFB" w:rsidRPr="00E528D0">
        <w:rPr>
          <w:rFonts w:ascii="Noor_Badr" w:hAnsi="Noor_Badr" w:cs="Noor_Badr"/>
          <w:sz w:val="32"/>
          <w:szCs w:val="32"/>
          <w:rtl/>
          <w:lang w:bidi="fa-IR"/>
        </w:rPr>
        <w:t>قضی یقضی قضاءاً وزناً و معنیً؛ و فی التنزیل: یوم لاتجزی نفس عن نفس شیئا؛ و فی الدعاء</w:t>
      </w:r>
      <w:r w:rsidR="00B46729" w:rsidRPr="00E528D0">
        <w:rPr>
          <w:rFonts w:ascii="Noor_Badr" w:hAnsi="Noor_Badr" w:cs="Noor_Badr"/>
          <w:sz w:val="32"/>
          <w:szCs w:val="32"/>
          <w:rtl/>
          <w:lang w:bidi="fa-IR"/>
        </w:rPr>
        <w:t>: جزاه الله خیرا أی قضاه له و أث</w:t>
      </w:r>
      <w:r w:rsidR="00EB0BFB" w:rsidRPr="00E528D0">
        <w:rPr>
          <w:rFonts w:ascii="Noor_Badr" w:hAnsi="Noor_Badr" w:cs="Noor_Badr"/>
          <w:sz w:val="32"/>
          <w:szCs w:val="32"/>
          <w:rtl/>
          <w:lang w:bidi="fa-IR"/>
        </w:rPr>
        <w:t>ابه علیه</w:t>
      </w:r>
      <w:r w:rsidR="007F3FC7" w:rsidRPr="00E528D0">
        <w:rPr>
          <w:rFonts w:ascii="Noor_Badr" w:hAnsi="Noor_Badr" w:cs="Noor_Badr"/>
          <w:sz w:val="32"/>
          <w:szCs w:val="32"/>
          <w:rtl/>
          <w:lang w:bidi="fa-IR"/>
        </w:rPr>
        <w:t xml:space="preserve"> و قدیستعمل أجزأ بالألف و الهمزة بمعنی واحد و ذلک عن الأخفش. الثلاثی من غیر همزة لغة الحجاز و الرباعی المهموز(أجزأ)لغة التمیم.</w:t>
      </w:r>
    </w:p>
    <w:p w:rsidR="00E155B0" w:rsidRPr="00E528D0" w:rsidRDefault="00E155B0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 xml:space="preserve">نتیجه: در لغت اجزاء به </w:t>
      </w:r>
      <w:r w:rsidR="001D2063" w:rsidRPr="00E528D0">
        <w:rPr>
          <w:rFonts w:ascii="Noor_Badr" w:hAnsi="Noor_Badr" w:cs="Noor_Badr"/>
          <w:sz w:val="32"/>
          <w:szCs w:val="32"/>
          <w:rtl/>
          <w:lang w:bidi="fa-IR"/>
        </w:rPr>
        <w:t>معنای جزا ست</w:t>
      </w:r>
      <w:r w:rsidRPr="00E528D0">
        <w:rPr>
          <w:rFonts w:ascii="Noor_Badr" w:hAnsi="Noor_Badr" w:cs="Noor_Badr"/>
          <w:sz w:val="32"/>
          <w:szCs w:val="32"/>
          <w:rtl/>
          <w:lang w:bidi="fa-IR"/>
        </w:rPr>
        <w:t xml:space="preserve"> به معنای قرار گرفتن شیئی در مقام شیئ دیگر؛ واین قیام در ثلاثی مجرد کمتر لحاظ شده است.</w:t>
      </w:r>
    </w:p>
    <w:p w:rsidR="009B1569" w:rsidRPr="00E528D0" w:rsidRDefault="009B1569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مقام دوم : اصطلاح</w:t>
      </w:r>
    </w:p>
    <w:p w:rsidR="009B1569" w:rsidRPr="00E528D0" w:rsidRDefault="009B1569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 xml:space="preserve">معنای اصطلاحی اجزا با معنای لغوی آن تفاوت ماهوی ندارد و فقط متعلق اجزا به آن اضافه می شود و ترکیب می شود یعنی: </w:t>
      </w:r>
      <w:r w:rsidR="00F03A8A" w:rsidRPr="00E528D0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Pr="00E528D0">
        <w:rPr>
          <w:rFonts w:ascii="Noor_Badr" w:hAnsi="Noor_Badr" w:cs="Noor_Badr"/>
          <w:sz w:val="32"/>
          <w:szCs w:val="32"/>
          <w:rtl/>
          <w:lang w:bidi="fa-IR"/>
        </w:rPr>
        <w:t>اجزاء ماموربه</w:t>
      </w:r>
      <w:r w:rsidR="00F03A8A" w:rsidRPr="00E528D0">
        <w:rPr>
          <w:rFonts w:ascii="Noor_Badr" w:hAnsi="Noor_Badr" w:cs="Noor_Badr"/>
          <w:sz w:val="32"/>
          <w:szCs w:val="32"/>
          <w:rtl/>
          <w:lang w:bidi="fa-IR"/>
        </w:rPr>
        <w:t>"،</w:t>
      </w:r>
      <w:r w:rsidRPr="00E528D0">
        <w:rPr>
          <w:rFonts w:ascii="Noor_Badr" w:hAnsi="Noor_Badr" w:cs="Noor_Badr"/>
          <w:sz w:val="32"/>
          <w:szCs w:val="32"/>
          <w:rtl/>
          <w:lang w:bidi="fa-IR"/>
        </w:rPr>
        <w:t xml:space="preserve"> که سه قسم است: ماموربه واقعی،ظاهری و اضطراری.</w:t>
      </w:r>
    </w:p>
    <w:p w:rsidR="00DE0FBF" w:rsidRPr="00E528D0" w:rsidRDefault="00F03A8A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 xml:space="preserve">لذا </w:t>
      </w:r>
      <w:r w:rsidR="00DE0FBF" w:rsidRPr="00E528D0">
        <w:rPr>
          <w:rFonts w:ascii="Noor_Badr" w:hAnsi="Noor_Badr" w:cs="Noor_Badr"/>
          <w:sz w:val="32"/>
          <w:szCs w:val="32"/>
          <w:rtl/>
          <w:lang w:bidi="fa-IR"/>
        </w:rPr>
        <w:t>عنوان بحث این می شود:</w:t>
      </w:r>
    </w:p>
    <w:p w:rsidR="00DE0FBF" w:rsidRPr="00E528D0" w:rsidRDefault="00DE0FBF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اجزاء ماموربه به امر واقعی</w:t>
      </w:r>
    </w:p>
    <w:p w:rsidR="00DE0FBF" w:rsidRPr="00E528D0" w:rsidRDefault="00DE0FBF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اجزاء ماموربه به امر ظاهری</w:t>
      </w:r>
    </w:p>
    <w:p w:rsidR="00DE0FBF" w:rsidRPr="00E528D0" w:rsidRDefault="00DE0FBF" w:rsidP="00E528D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اجزاء ماموربه به امر اضطراری.</w:t>
      </w:r>
    </w:p>
    <w:p w:rsidR="00EC4A8F" w:rsidRPr="00E528D0" w:rsidRDefault="00EC4A8F" w:rsidP="00E528D0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E528D0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EC4A8F" w:rsidRPr="00E528D0" w:rsidSect="00E528D0">
      <w:pgSz w:w="11906" w:h="16838" w:code="9"/>
      <w:pgMar w:top="720" w:right="720" w:bottom="720" w:left="720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titlePg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4E9"/>
    <w:rsid w:val="00021191"/>
    <w:rsid w:val="000736A8"/>
    <w:rsid w:val="000B605C"/>
    <w:rsid w:val="000F0881"/>
    <w:rsid w:val="00187611"/>
    <w:rsid w:val="001A29E1"/>
    <w:rsid w:val="001B0450"/>
    <w:rsid w:val="001D2063"/>
    <w:rsid w:val="00275BB6"/>
    <w:rsid w:val="002A5BD0"/>
    <w:rsid w:val="003079F9"/>
    <w:rsid w:val="003C5A0E"/>
    <w:rsid w:val="003D0A3A"/>
    <w:rsid w:val="004E67F1"/>
    <w:rsid w:val="005F71EE"/>
    <w:rsid w:val="006F61B5"/>
    <w:rsid w:val="007644A3"/>
    <w:rsid w:val="0077179C"/>
    <w:rsid w:val="007B0F2C"/>
    <w:rsid w:val="007F3FC7"/>
    <w:rsid w:val="00812C9D"/>
    <w:rsid w:val="00827367"/>
    <w:rsid w:val="008D5F6F"/>
    <w:rsid w:val="009319D5"/>
    <w:rsid w:val="00953913"/>
    <w:rsid w:val="00972788"/>
    <w:rsid w:val="009740AB"/>
    <w:rsid w:val="009B1569"/>
    <w:rsid w:val="009C6E0E"/>
    <w:rsid w:val="009E266F"/>
    <w:rsid w:val="00B46729"/>
    <w:rsid w:val="00BC6931"/>
    <w:rsid w:val="00C254E9"/>
    <w:rsid w:val="00C328E4"/>
    <w:rsid w:val="00C609C4"/>
    <w:rsid w:val="00D00405"/>
    <w:rsid w:val="00D24600"/>
    <w:rsid w:val="00D56A28"/>
    <w:rsid w:val="00DE0FBF"/>
    <w:rsid w:val="00E155B0"/>
    <w:rsid w:val="00E528D0"/>
    <w:rsid w:val="00E8667E"/>
    <w:rsid w:val="00E93C29"/>
    <w:rsid w:val="00EB0BFB"/>
    <w:rsid w:val="00EB31D2"/>
    <w:rsid w:val="00EC4A8F"/>
    <w:rsid w:val="00EF064A"/>
    <w:rsid w:val="00F03A8A"/>
    <w:rsid w:val="00F37FBA"/>
    <w:rsid w:val="00F7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43</cp:revision>
  <dcterms:created xsi:type="dcterms:W3CDTF">2018-11-08T02:17:00Z</dcterms:created>
  <dcterms:modified xsi:type="dcterms:W3CDTF">2020-08-23T03:51:00Z</dcterms:modified>
</cp:coreProperties>
</file>